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7F97" w14:textId="77777777" w:rsidR="0004561F" w:rsidRPr="0004561F" w:rsidRDefault="0004561F" w:rsidP="0004561F">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04561F">
        <w:rPr>
          <w:rFonts w:ascii="Verdana" w:eastAsia="Times New Roman" w:hAnsi="Verdana" w:cs="Times New Roman"/>
          <w:color w:val="CC3300"/>
          <w:kern w:val="36"/>
          <w:sz w:val="36"/>
          <w:szCs w:val="36"/>
          <w:lang w:eastAsia="fr-BE"/>
        </w:rPr>
        <w:t>Zinc : les primes continuent de renchérir</w:t>
      </w:r>
    </w:p>
    <w:p w14:paraId="402AC951" w14:textId="77777777" w:rsidR="0004561F" w:rsidRDefault="0004561F" w:rsidP="0004561F">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5586B079" w14:textId="2923095C"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04561F">
        <w:rPr>
          <w:rFonts w:ascii="Verdana" w:eastAsia="Times New Roman" w:hAnsi="Verdana" w:cs="Times New Roman"/>
          <w:b/>
          <w:bCs/>
          <w:color w:val="000000"/>
          <w:sz w:val="23"/>
          <w:szCs w:val="23"/>
          <w:lang w:eastAsia="fr-BE"/>
        </w:rPr>
        <w:t>Rotterdam.–</w:t>
      </w:r>
      <w:proofErr w:type="gramEnd"/>
      <w:r w:rsidRPr="0004561F">
        <w:rPr>
          <w:rFonts w:ascii="Verdana" w:eastAsia="Times New Roman" w:hAnsi="Verdana" w:cs="Times New Roman"/>
          <w:b/>
          <w:bCs/>
          <w:color w:val="000000"/>
          <w:sz w:val="23"/>
          <w:szCs w:val="23"/>
          <w:lang w:eastAsia="fr-BE"/>
        </w:rPr>
        <w:t xml:space="preserve"> Les primes sur le nickel et le zinc ont progressé. Elles sont portées par les tensions sur les disponibilités et la demande des consommateurs. Celles nouées sur les lingots d’aluminium se sont stabilisées, les conditions de marché s’étant améliorées avec l’élargissement de la position de </w:t>
      </w:r>
      <w:proofErr w:type="spellStart"/>
      <w:r w:rsidRPr="0004561F">
        <w:rPr>
          <w:rFonts w:ascii="Verdana" w:eastAsia="Times New Roman" w:hAnsi="Verdana" w:cs="Times New Roman"/>
          <w:b/>
          <w:bCs/>
          <w:color w:val="000000"/>
          <w:sz w:val="23"/>
          <w:szCs w:val="23"/>
          <w:lang w:eastAsia="fr-BE"/>
        </w:rPr>
        <w:t>contango</w:t>
      </w:r>
      <w:proofErr w:type="spellEnd"/>
      <w:r w:rsidRPr="0004561F">
        <w:rPr>
          <w:rFonts w:ascii="Verdana" w:eastAsia="Times New Roman" w:hAnsi="Verdana" w:cs="Times New Roman"/>
          <w:b/>
          <w:bCs/>
          <w:color w:val="000000"/>
          <w:sz w:val="23"/>
          <w:szCs w:val="23"/>
          <w:lang w:eastAsia="fr-BE"/>
        </w:rPr>
        <w:t xml:space="preserve"> sur le LME.</w:t>
      </w:r>
    </w:p>
    <w:p w14:paraId="2B2CFC35"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color w:val="000000"/>
          <w:sz w:val="23"/>
          <w:szCs w:val="23"/>
          <w:lang w:eastAsia="fr-BE"/>
        </w:rPr>
        <w:t> </w:t>
      </w:r>
    </w:p>
    <w:p w14:paraId="77D44675"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b/>
          <w:bCs/>
          <w:color w:val="A52A2A"/>
          <w:sz w:val="23"/>
          <w:szCs w:val="23"/>
          <w:lang w:eastAsia="fr-BE"/>
        </w:rPr>
        <w:t>Aluminium : accalmie</w:t>
      </w:r>
    </w:p>
    <w:p w14:paraId="259FE21A"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color w:val="000000"/>
          <w:sz w:val="23"/>
          <w:szCs w:val="23"/>
          <w:lang w:eastAsia="fr-BE"/>
        </w:rPr>
        <w:t xml:space="preserve">Sur le marché spot de l’aluminium les primes ont trouvé un peu de soutien du côté du </w:t>
      </w:r>
      <w:proofErr w:type="spellStart"/>
      <w:r w:rsidRPr="0004561F">
        <w:rPr>
          <w:rFonts w:ascii="Verdana" w:eastAsia="Times New Roman" w:hAnsi="Verdana" w:cs="Times New Roman"/>
          <w:color w:val="000000"/>
          <w:sz w:val="23"/>
          <w:szCs w:val="23"/>
          <w:lang w:eastAsia="fr-BE"/>
        </w:rPr>
        <w:t>contango</w:t>
      </w:r>
      <w:proofErr w:type="spellEnd"/>
      <w:r w:rsidRPr="0004561F">
        <w:rPr>
          <w:rFonts w:ascii="Verdana" w:eastAsia="Times New Roman" w:hAnsi="Verdana" w:cs="Times New Roman"/>
          <w:color w:val="000000"/>
          <w:sz w:val="23"/>
          <w:szCs w:val="23"/>
          <w:lang w:eastAsia="fr-BE"/>
        </w:rPr>
        <w:t xml:space="preserve"> entre les contrats comptant et trois mois sur le LME. « </w:t>
      </w:r>
      <w:r w:rsidRPr="0004561F">
        <w:rPr>
          <w:rFonts w:ascii="Verdana" w:eastAsia="Times New Roman" w:hAnsi="Verdana" w:cs="Times New Roman"/>
          <w:i/>
          <w:iCs/>
          <w:color w:val="000000"/>
          <w:sz w:val="23"/>
          <w:szCs w:val="23"/>
          <w:lang w:eastAsia="fr-BE"/>
        </w:rPr>
        <w:t>Clairement, le spread a changé la donne</w:t>
      </w:r>
      <w:r w:rsidRPr="0004561F">
        <w:rPr>
          <w:rFonts w:ascii="Verdana" w:eastAsia="Times New Roman" w:hAnsi="Verdana" w:cs="Times New Roman"/>
          <w:color w:val="000000"/>
          <w:sz w:val="23"/>
          <w:szCs w:val="23"/>
          <w:lang w:eastAsia="fr-BE"/>
        </w:rPr>
        <w:t> », constate un trader, ajoutant que «</w:t>
      </w:r>
      <w:r w:rsidRPr="0004561F">
        <w:rPr>
          <w:rFonts w:ascii="Verdana" w:eastAsia="Times New Roman" w:hAnsi="Verdana" w:cs="Times New Roman"/>
          <w:i/>
          <w:iCs/>
          <w:color w:val="000000"/>
          <w:sz w:val="23"/>
          <w:szCs w:val="23"/>
          <w:lang w:eastAsia="fr-BE"/>
        </w:rPr>
        <w:t> les liquidations sont moins nombreuses</w:t>
      </w:r>
      <w:r w:rsidRPr="0004561F">
        <w:rPr>
          <w:rFonts w:ascii="Verdana" w:eastAsia="Times New Roman" w:hAnsi="Verdana" w:cs="Times New Roman"/>
          <w:color w:val="000000"/>
          <w:sz w:val="23"/>
          <w:szCs w:val="23"/>
          <w:lang w:eastAsia="fr-BE"/>
        </w:rPr>
        <w:t> ». Les primes sur les </w:t>
      </w:r>
      <w:r w:rsidRPr="0004561F">
        <w:rPr>
          <w:rFonts w:ascii="Verdana" w:eastAsia="Times New Roman" w:hAnsi="Verdana" w:cs="Times New Roman"/>
          <w:color w:val="000000"/>
          <w:sz w:val="23"/>
          <w:szCs w:val="23"/>
          <w:u w:val="single"/>
          <w:lang w:eastAsia="fr-BE"/>
        </w:rPr>
        <w:t>lingots P1020 dédouanés</w:t>
      </w:r>
      <w:r w:rsidRPr="0004561F">
        <w:rPr>
          <w:rFonts w:ascii="Verdana" w:eastAsia="Times New Roman" w:hAnsi="Verdana" w:cs="Times New Roman"/>
          <w:color w:val="000000"/>
          <w:sz w:val="23"/>
          <w:szCs w:val="23"/>
          <w:lang w:eastAsia="fr-BE"/>
        </w:rPr>
        <w:t>, départ entrepôts de </w:t>
      </w:r>
      <w:r w:rsidRPr="0004561F">
        <w:rPr>
          <w:rFonts w:ascii="Verdana" w:eastAsia="Times New Roman" w:hAnsi="Verdana" w:cs="Times New Roman"/>
          <w:b/>
          <w:bCs/>
          <w:color w:val="000000"/>
          <w:sz w:val="23"/>
          <w:szCs w:val="23"/>
          <w:lang w:eastAsia="fr-BE"/>
        </w:rPr>
        <w:t>Rotterdam</w:t>
      </w:r>
      <w:r w:rsidRPr="0004561F">
        <w:rPr>
          <w:rFonts w:ascii="Verdana" w:eastAsia="Times New Roman" w:hAnsi="Verdana" w:cs="Times New Roman"/>
          <w:color w:val="000000"/>
          <w:sz w:val="23"/>
          <w:szCs w:val="23"/>
          <w:lang w:eastAsia="fr-BE"/>
        </w:rPr>
        <w:t xml:space="preserve">, se sont tassées de 5 $ à la fourchette basse, à 290-310 $/t. Elles inscrivent six semaines consécutives de baisse depuis leur sommet historique à 380-390 $/t enregistré le 28 septembre. La baisse a marqué le pas, pour autant les acteurs de marché ne prévoient pas de forte progression. « Nous ne devrions plus voir d’envolées comme celles que nous avons eues en septembre. La situation devrait se normaliser », estime un second trader, au regard du ralentissement également </w:t>
      </w:r>
      <w:proofErr w:type="gramStart"/>
      <w:r w:rsidRPr="0004561F">
        <w:rPr>
          <w:rFonts w:ascii="Verdana" w:eastAsia="Times New Roman" w:hAnsi="Verdana" w:cs="Times New Roman"/>
          <w:color w:val="000000"/>
          <w:sz w:val="23"/>
          <w:szCs w:val="23"/>
          <w:lang w:eastAsia="fr-BE"/>
        </w:rPr>
        <w:t>observé</w:t>
      </w:r>
      <w:proofErr w:type="gramEnd"/>
      <w:r w:rsidRPr="0004561F">
        <w:rPr>
          <w:rFonts w:ascii="Verdana" w:eastAsia="Times New Roman" w:hAnsi="Verdana" w:cs="Times New Roman"/>
          <w:color w:val="000000"/>
          <w:sz w:val="23"/>
          <w:szCs w:val="23"/>
          <w:lang w:eastAsia="fr-BE"/>
        </w:rPr>
        <w:t xml:space="preserve"> en Chine et du tassement de la progression des coûts de transport. « </w:t>
      </w:r>
      <w:r w:rsidRPr="0004561F">
        <w:rPr>
          <w:rFonts w:ascii="Verdana" w:eastAsia="Times New Roman" w:hAnsi="Verdana" w:cs="Times New Roman"/>
          <w:i/>
          <w:iCs/>
          <w:color w:val="000000"/>
          <w:sz w:val="23"/>
          <w:szCs w:val="23"/>
          <w:lang w:eastAsia="fr-BE"/>
        </w:rPr>
        <w:t>Les gens sont moins stressés de vendre, c’est bon signe</w:t>
      </w:r>
      <w:r w:rsidRPr="0004561F">
        <w:rPr>
          <w:rFonts w:ascii="Verdana" w:eastAsia="Times New Roman" w:hAnsi="Verdana" w:cs="Times New Roman"/>
          <w:color w:val="000000"/>
          <w:sz w:val="23"/>
          <w:szCs w:val="23"/>
          <w:lang w:eastAsia="fr-BE"/>
        </w:rPr>
        <w:t> », commente un autre trader. Les primes négociées sur les </w:t>
      </w:r>
      <w:r w:rsidRPr="0004561F">
        <w:rPr>
          <w:rFonts w:ascii="Verdana" w:eastAsia="Times New Roman" w:hAnsi="Verdana" w:cs="Times New Roman"/>
          <w:color w:val="000000"/>
          <w:sz w:val="23"/>
          <w:szCs w:val="23"/>
          <w:u w:val="single"/>
          <w:lang w:eastAsia="fr-BE"/>
        </w:rPr>
        <w:t>lingots P1020 non dédouanés</w:t>
      </w:r>
      <w:r w:rsidRPr="0004561F">
        <w:rPr>
          <w:rFonts w:ascii="Verdana" w:eastAsia="Times New Roman" w:hAnsi="Verdana" w:cs="Times New Roman"/>
          <w:color w:val="000000"/>
          <w:sz w:val="23"/>
          <w:szCs w:val="23"/>
          <w:lang w:eastAsia="fr-BE"/>
        </w:rPr>
        <w:t>, départ entrepôts de </w:t>
      </w:r>
      <w:r w:rsidRPr="0004561F">
        <w:rPr>
          <w:rFonts w:ascii="Verdana" w:eastAsia="Times New Roman" w:hAnsi="Verdana" w:cs="Times New Roman"/>
          <w:b/>
          <w:bCs/>
          <w:color w:val="000000"/>
          <w:sz w:val="23"/>
          <w:szCs w:val="23"/>
          <w:lang w:eastAsia="fr-BE"/>
        </w:rPr>
        <w:t>Rotterdam</w:t>
      </w:r>
      <w:r w:rsidRPr="0004561F">
        <w:rPr>
          <w:rFonts w:ascii="Verdana" w:eastAsia="Times New Roman" w:hAnsi="Verdana" w:cs="Times New Roman"/>
          <w:color w:val="000000"/>
          <w:sz w:val="23"/>
          <w:szCs w:val="23"/>
          <w:lang w:eastAsia="fr-BE"/>
        </w:rPr>
        <w:t xml:space="preserve">, sont stables à 235-250 $/t. Tout comme dans le sud du continent : celles négociées </w:t>
      </w:r>
      <w:proofErr w:type="spellStart"/>
      <w:r w:rsidRPr="0004561F">
        <w:rPr>
          <w:rFonts w:ascii="Verdana" w:eastAsia="Times New Roman" w:hAnsi="Verdana" w:cs="Times New Roman"/>
          <w:color w:val="000000"/>
          <w:sz w:val="23"/>
          <w:szCs w:val="23"/>
          <w:lang w:eastAsia="fr-BE"/>
        </w:rPr>
        <w:t>fca</w:t>
      </w:r>
      <w:proofErr w:type="spellEnd"/>
      <w:r w:rsidRPr="0004561F">
        <w:rPr>
          <w:rFonts w:ascii="Verdana" w:eastAsia="Times New Roman" w:hAnsi="Verdana" w:cs="Times New Roman"/>
          <w:color w:val="000000"/>
          <w:sz w:val="23"/>
          <w:szCs w:val="23"/>
          <w:lang w:eastAsia="fr-BE"/>
        </w:rPr>
        <w:t> </w:t>
      </w:r>
      <w:r w:rsidRPr="0004561F">
        <w:rPr>
          <w:rFonts w:ascii="Verdana" w:eastAsia="Times New Roman" w:hAnsi="Verdana" w:cs="Times New Roman"/>
          <w:b/>
          <w:bCs/>
          <w:color w:val="000000"/>
          <w:sz w:val="23"/>
          <w:szCs w:val="23"/>
          <w:lang w:eastAsia="fr-BE"/>
        </w:rPr>
        <w:t>Italie </w:t>
      </w:r>
      <w:r w:rsidRPr="0004561F">
        <w:rPr>
          <w:rFonts w:ascii="Verdana" w:eastAsia="Times New Roman" w:hAnsi="Verdana" w:cs="Times New Roman"/>
          <w:color w:val="000000"/>
          <w:sz w:val="23"/>
          <w:szCs w:val="23"/>
          <w:lang w:eastAsia="fr-BE"/>
        </w:rPr>
        <w:t xml:space="preserve">demeurent à 365-390 $/t et celles </w:t>
      </w:r>
      <w:proofErr w:type="spellStart"/>
      <w:r w:rsidRPr="0004561F">
        <w:rPr>
          <w:rFonts w:ascii="Verdana" w:eastAsia="Times New Roman" w:hAnsi="Verdana" w:cs="Times New Roman"/>
          <w:color w:val="000000"/>
          <w:sz w:val="23"/>
          <w:szCs w:val="23"/>
          <w:lang w:eastAsia="fr-BE"/>
        </w:rPr>
        <w:t>fca</w:t>
      </w:r>
      <w:proofErr w:type="spellEnd"/>
      <w:r w:rsidRPr="0004561F">
        <w:rPr>
          <w:rFonts w:ascii="Verdana" w:eastAsia="Times New Roman" w:hAnsi="Verdana" w:cs="Times New Roman"/>
          <w:color w:val="000000"/>
          <w:sz w:val="23"/>
          <w:szCs w:val="23"/>
          <w:lang w:eastAsia="fr-BE"/>
        </w:rPr>
        <w:t> </w:t>
      </w:r>
      <w:r w:rsidRPr="0004561F">
        <w:rPr>
          <w:rFonts w:ascii="Verdana" w:eastAsia="Times New Roman" w:hAnsi="Verdana" w:cs="Times New Roman"/>
          <w:b/>
          <w:bCs/>
          <w:color w:val="000000"/>
          <w:sz w:val="23"/>
          <w:szCs w:val="23"/>
          <w:lang w:eastAsia="fr-BE"/>
        </w:rPr>
        <w:t>Espagne </w:t>
      </w:r>
      <w:r w:rsidRPr="0004561F">
        <w:rPr>
          <w:rFonts w:ascii="Verdana" w:eastAsia="Times New Roman" w:hAnsi="Verdana" w:cs="Times New Roman"/>
          <w:color w:val="000000"/>
          <w:sz w:val="23"/>
          <w:szCs w:val="23"/>
          <w:lang w:eastAsia="fr-BE"/>
        </w:rPr>
        <w:t>à 375-390 $/t.</w:t>
      </w:r>
    </w:p>
    <w:p w14:paraId="01B1D2FF"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color w:val="000000"/>
          <w:sz w:val="23"/>
          <w:szCs w:val="23"/>
          <w:lang w:eastAsia="fr-BE"/>
        </w:rPr>
        <w:t> </w:t>
      </w:r>
    </w:p>
    <w:p w14:paraId="1DF8220F"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b/>
          <w:bCs/>
          <w:color w:val="A52A2A"/>
          <w:sz w:val="23"/>
          <w:szCs w:val="23"/>
          <w:lang w:eastAsia="fr-BE"/>
        </w:rPr>
        <w:t>Zinc : la progression continue</w:t>
      </w:r>
    </w:p>
    <w:p w14:paraId="533F4D60"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color w:val="000000"/>
          <w:sz w:val="23"/>
          <w:szCs w:val="23"/>
          <w:lang w:eastAsia="fr-BE"/>
        </w:rPr>
        <w:t>Le marché est toujours aux mains des vendeurs compte tenu du peu de production disponible et les primes du marché spot sont tirées à la hausse par celles nouées sur les contrats à long terme. Ainsi, les primes négociées sur les </w:t>
      </w:r>
      <w:r w:rsidRPr="0004561F">
        <w:rPr>
          <w:rFonts w:ascii="Verdana" w:eastAsia="Times New Roman" w:hAnsi="Verdana" w:cs="Times New Roman"/>
          <w:color w:val="000000"/>
          <w:sz w:val="23"/>
          <w:szCs w:val="23"/>
          <w:u w:val="single"/>
          <w:lang w:eastAsia="fr-BE"/>
        </w:rPr>
        <w:t>lingots SHG dédouanés</w:t>
      </w:r>
      <w:r w:rsidRPr="0004561F">
        <w:rPr>
          <w:rFonts w:ascii="Verdana" w:eastAsia="Times New Roman" w:hAnsi="Verdana" w:cs="Times New Roman"/>
          <w:color w:val="000000"/>
          <w:sz w:val="23"/>
          <w:szCs w:val="23"/>
          <w:lang w:eastAsia="fr-BE"/>
        </w:rPr>
        <w:t xml:space="preserve"> inscrivent, pour la quatrième semaine d’affilée, une progression, à 220-260 $/t, </w:t>
      </w:r>
      <w:proofErr w:type="spellStart"/>
      <w:r w:rsidRPr="0004561F">
        <w:rPr>
          <w:rFonts w:ascii="Verdana" w:eastAsia="Times New Roman" w:hAnsi="Verdana" w:cs="Times New Roman"/>
          <w:color w:val="000000"/>
          <w:sz w:val="23"/>
          <w:szCs w:val="23"/>
          <w:lang w:eastAsia="fr-BE"/>
        </w:rPr>
        <w:t>fca</w:t>
      </w:r>
      <w:proofErr w:type="spellEnd"/>
      <w:r w:rsidRPr="0004561F">
        <w:rPr>
          <w:rFonts w:ascii="Verdana" w:eastAsia="Times New Roman" w:hAnsi="Verdana" w:cs="Times New Roman"/>
          <w:color w:val="000000"/>
          <w:sz w:val="23"/>
          <w:szCs w:val="23"/>
          <w:lang w:eastAsia="fr-BE"/>
        </w:rPr>
        <w:t> </w:t>
      </w:r>
      <w:r w:rsidRPr="0004561F">
        <w:rPr>
          <w:rFonts w:ascii="Verdana" w:eastAsia="Times New Roman" w:hAnsi="Verdana" w:cs="Times New Roman"/>
          <w:b/>
          <w:bCs/>
          <w:color w:val="000000"/>
          <w:sz w:val="23"/>
          <w:szCs w:val="23"/>
          <w:lang w:eastAsia="fr-BE"/>
        </w:rPr>
        <w:t>Anvers </w:t>
      </w:r>
      <w:r w:rsidRPr="0004561F">
        <w:rPr>
          <w:rFonts w:ascii="Verdana" w:eastAsia="Times New Roman" w:hAnsi="Verdana" w:cs="Times New Roman"/>
          <w:color w:val="000000"/>
          <w:sz w:val="23"/>
          <w:szCs w:val="23"/>
          <w:lang w:eastAsia="fr-BE"/>
        </w:rPr>
        <w:t>et </w:t>
      </w:r>
      <w:r w:rsidRPr="0004561F">
        <w:rPr>
          <w:rFonts w:ascii="Verdana" w:eastAsia="Times New Roman" w:hAnsi="Verdana" w:cs="Times New Roman"/>
          <w:b/>
          <w:bCs/>
          <w:color w:val="000000"/>
          <w:sz w:val="23"/>
          <w:szCs w:val="23"/>
          <w:lang w:eastAsia="fr-BE"/>
        </w:rPr>
        <w:t>Rotterdam</w:t>
      </w:r>
      <w:r w:rsidRPr="0004561F">
        <w:rPr>
          <w:rFonts w:ascii="Verdana" w:eastAsia="Times New Roman" w:hAnsi="Verdana" w:cs="Times New Roman"/>
          <w:color w:val="000000"/>
          <w:sz w:val="23"/>
          <w:szCs w:val="23"/>
          <w:lang w:eastAsia="fr-BE"/>
        </w:rPr>
        <w:t>, contre 200-240 $/t la semaine passée. Elles demeurent inférieures au pic de 290-340 $/t d’août 2007 et à leur niveau record de 310-370 $/t de décembre 2006. «</w:t>
      </w:r>
      <w:r w:rsidRPr="0004561F">
        <w:rPr>
          <w:rFonts w:ascii="Verdana" w:eastAsia="Times New Roman" w:hAnsi="Verdana" w:cs="Times New Roman"/>
          <w:i/>
          <w:iCs/>
          <w:color w:val="000000"/>
          <w:sz w:val="23"/>
          <w:szCs w:val="23"/>
          <w:lang w:eastAsia="fr-BE"/>
        </w:rPr>
        <w:t> Les consommateurs ne pourront qu’accepter les primes proposées, sinon ils devront arrêter leur production</w:t>
      </w:r>
      <w:r w:rsidRPr="0004561F">
        <w:rPr>
          <w:rFonts w:ascii="Verdana" w:eastAsia="Times New Roman" w:hAnsi="Verdana" w:cs="Times New Roman"/>
          <w:color w:val="000000"/>
          <w:sz w:val="23"/>
          <w:szCs w:val="23"/>
          <w:lang w:eastAsia="fr-BE"/>
        </w:rPr>
        <w:t> », prévient un producteur. « </w:t>
      </w:r>
      <w:r w:rsidRPr="0004561F">
        <w:rPr>
          <w:rFonts w:ascii="Verdana" w:eastAsia="Times New Roman" w:hAnsi="Verdana" w:cs="Times New Roman"/>
          <w:i/>
          <w:iCs/>
          <w:color w:val="000000"/>
          <w:sz w:val="23"/>
          <w:szCs w:val="23"/>
          <w:lang w:eastAsia="fr-BE"/>
        </w:rPr>
        <w:t>Les primes s’apprécient quasiment chaque jour. Elles pourraient atteindre 300-350 $/t l’an prochain</w:t>
      </w:r>
      <w:r w:rsidRPr="0004561F">
        <w:rPr>
          <w:rFonts w:ascii="Verdana" w:eastAsia="Times New Roman" w:hAnsi="Verdana" w:cs="Times New Roman"/>
          <w:color w:val="000000"/>
          <w:sz w:val="23"/>
          <w:szCs w:val="23"/>
          <w:lang w:eastAsia="fr-BE"/>
        </w:rPr>
        <w:t> », suggère pour sa part un trader. Les tensions sur les disponibilités se font également ressentir pour les contrats de 2022, au regard des incertitudes qui pèsent sur les productions européennes. Pour cette raison, les producteurs demandent des primes de 230 $/t, voire plus, pour les contrats annuels.</w:t>
      </w:r>
    </w:p>
    <w:p w14:paraId="3E8847FF"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color w:val="000000"/>
          <w:sz w:val="23"/>
          <w:szCs w:val="23"/>
          <w:lang w:eastAsia="fr-BE"/>
        </w:rPr>
        <w:t> </w:t>
      </w:r>
    </w:p>
    <w:p w14:paraId="0D3EDF9A"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b/>
          <w:bCs/>
          <w:color w:val="A52A2A"/>
          <w:sz w:val="23"/>
          <w:szCs w:val="23"/>
          <w:lang w:eastAsia="fr-BE"/>
        </w:rPr>
        <w:t>Nickel : une hausse dans le sillage des contrats de 2022</w:t>
      </w:r>
    </w:p>
    <w:p w14:paraId="4014C1E1" w14:textId="77777777" w:rsidR="0004561F" w:rsidRPr="0004561F" w:rsidRDefault="0004561F" w:rsidP="0004561F">
      <w:pPr>
        <w:shd w:val="clear" w:color="auto" w:fill="FFFFFF"/>
        <w:spacing w:before="75" w:after="75" w:line="240" w:lineRule="auto"/>
        <w:jc w:val="both"/>
        <w:rPr>
          <w:rFonts w:ascii="Verdana" w:eastAsia="Times New Roman" w:hAnsi="Verdana" w:cs="Times New Roman"/>
          <w:color w:val="000000"/>
          <w:sz w:val="23"/>
          <w:szCs w:val="23"/>
          <w:lang w:eastAsia="fr-BE"/>
        </w:rPr>
      </w:pPr>
      <w:r w:rsidRPr="0004561F">
        <w:rPr>
          <w:rFonts w:ascii="Verdana" w:eastAsia="Times New Roman" w:hAnsi="Verdana" w:cs="Times New Roman"/>
          <w:color w:val="000000"/>
          <w:sz w:val="23"/>
          <w:szCs w:val="23"/>
          <w:lang w:eastAsia="fr-BE"/>
        </w:rPr>
        <w:lastRenderedPageBreak/>
        <w:t>Les acteurs de marché consacrent dorénavant toute leur attention aux contrats de 2022, alors qu’ils se préparent à assister à la conférence internationale sur les ferroalliages, à Prague, les 15 et 16 novembre. La demande du secteur de l’acier inoxydable est restée soutenue cette année, avec une progression de la production de 24,90% sur l’ensemble du premier semestre. Si cette dernière est anticipée en baisse avec les restrictions d’électricité et le ralentissement de la croissance chinoise, la demande du secteur des batteries et les contraintes côté offre devraient soutenir les cours et les primes. « </w:t>
      </w:r>
      <w:r w:rsidRPr="0004561F">
        <w:rPr>
          <w:rFonts w:ascii="Verdana" w:eastAsia="Times New Roman" w:hAnsi="Verdana" w:cs="Times New Roman"/>
          <w:i/>
          <w:iCs/>
          <w:color w:val="000000"/>
          <w:sz w:val="23"/>
          <w:szCs w:val="23"/>
          <w:lang w:eastAsia="fr-BE"/>
        </w:rPr>
        <w:t>Le marché est tiré à la hausse par les besoins des consommateurs pour 2022</w:t>
      </w:r>
      <w:r w:rsidRPr="0004561F">
        <w:rPr>
          <w:rFonts w:ascii="Verdana" w:eastAsia="Times New Roman" w:hAnsi="Verdana" w:cs="Times New Roman"/>
          <w:color w:val="000000"/>
          <w:sz w:val="23"/>
          <w:szCs w:val="23"/>
          <w:lang w:eastAsia="fr-BE"/>
        </w:rPr>
        <w:t> », indique un producteur. </w:t>
      </w:r>
      <w:proofErr w:type="spellStart"/>
      <w:r w:rsidRPr="0004561F">
        <w:rPr>
          <w:rFonts w:ascii="Verdana" w:eastAsia="Times New Roman" w:hAnsi="Verdana" w:cs="Times New Roman"/>
          <w:i/>
          <w:iCs/>
          <w:color w:val="000000"/>
          <w:sz w:val="23"/>
          <w:szCs w:val="23"/>
          <w:lang w:eastAsia="fr-BE"/>
        </w:rPr>
        <w:t>Fastmarkets</w:t>
      </w:r>
      <w:proofErr w:type="spellEnd"/>
      <w:r w:rsidRPr="0004561F">
        <w:rPr>
          <w:rFonts w:ascii="Verdana" w:eastAsia="Times New Roman" w:hAnsi="Verdana" w:cs="Times New Roman"/>
          <w:i/>
          <w:iCs/>
          <w:color w:val="000000"/>
          <w:sz w:val="23"/>
          <w:szCs w:val="23"/>
          <w:lang w:eastAsia="fr-BE"/>
        </w:rPr>
        <w:t> </w:t>
      </w:r>
      <w:r w:rsidRPr="0004561F">
        <w:rPr>
          <w:rFonts w:ascii="Verdana" w:eastAsia="Times New Roman" w:hAnsi="Verdana" w:cs="Times New Roman"/>
          <w:color w:val="000000"/>
          <w:sz w:val="23"/>
          <w:szCs w:val="23"/>
          <w:lang w:eastAsia="fr-BE"/>
        </w:rPr>
        <w:t>estime le déficit de marché à 78.000 tonnes l’an prochain. « </w:t>
      </w:r>
      <w:r w:rsidRPr="0004561F">
        <w:rPr>
          <w:rFonts w:ascii="Verdana" w:eastAsia="Times New Roman" w:hAnsi="Verdana" w:cs="Times New Roman"/>
          <w:color w:val="000000"/>
          <w:sz w:val="23"/>
          <w:szCs w:val="23"/>
          <w:u w:val="single"/>
          <w:lang w:eastAsia="fr-BE"/>
        </w:rPr>
        <w:t>Les primes risquent d’augmenter fortement l’an prochain </w:t>
      </w:r>
      <w:r w:rsidRPr="0004561F">
        <w:rPr>
          <w:rFonts w:ascii="Verdana" w:eastAsia="Times New Roman" w:hAnsi="Verdana" w:cs="Times New Roman"/>
          <w:color w:val="000000"/>
          <w:sz w:val="23"/>
          <w:szCs w:val="23"/>
          <w:lang w:eastAsia="fr-BE"/>
        </w:rPr>
        <w:t>», prévoit un trader européen. Ce sentiment haussier a dopé les primes ces derniers jours et ce, d’autant plus que l’offre en nickel et surtout en briquettes est serrée sur le continent. En outre, les réserves de la bourse de Londres ont reculé de 130.000 tonnes cette année, les briquettes prenant la direction de l’Asie. Les stocks de briquettes ont chuté de 7,4% depuis le 1</w:t>
      </w:r>
      <w:r w:rsidRPr="0004561F">
        <w:rPr>
          <w:rFonts w:ascii="Verdana" w:eastAsia="Times New Roman" w:hAnsi="Verdana" w:cs="Times New Roman"/>
          <w:color w:val="000000"/>
          <w:sz w:val="23"/>
          <w:szCs w:val="23"/>
          <w:vertAlign w:val="superscript"/>
          <w:lang w:eastAsia="fr-BE"/>
        </w:rPr>
        <w:t>er</w:t>
      </w:r>
      <w:r w:rsidRPr="0004561F">
        <w:rPr>
          <w:rFonts w:ascii="Verdana" w:eastAsia="Times New Roman" w:hAnsi="Verdana" w:cs="Times New Roman"/>
          <w:color w:val="000000"/>
          <w:sz w:val="23"/>
          <w:szCs w:val="23"/>
          <w:lang w:eastAsia="fr-BE"/>
        </w:rPr>
        <w:t> octobre et de 28% depuis le début de l’année, à 31,176 tonnes actuellement. Les primes sur les </w:t>
      </w:r>
      <w:r w:rsidRPr="0004561F">
        <w:rPr>
          <w:rFonts w:ascii="Verdana" w:eastAsia="Times New Roman" w:hAnsi="Verdana" w:cs="Times New Roman"/>
          <w:color w:val="000000"/>
          <w:sz w:val="23"/>
          <w:szCs w:val="23"/>
          <w:u w:val="single"/>
          <w:lang w:eastAsia="fr-BE"/>
        </w:rPr>
        <w:t>briquettes</w:t>
      </w:r>
      <w:r w:rsidRPr="0004561F">
        <w:rPr>
          <w:rFonts w:ascii="Verdana" w:eastAsia="Times New Roman" w:hAnsi="Verdana" w:cs="Times New Roman"/>
          <w:color w:val="000000"/>
          <w:sz w:val="23"/>
          <w:szCs w:val="23"/>
          <w:lang w:eastAsia="fr-BE"/>
        </w:rPr>
        <w:t>, départ entrepôts de </w:t>
      </w:r>
      <w:r w:rsidRPr="0004561F">
        <w:rPr>
          <w:rFonts w:ascii="Verdana" w:eastAsia="Times New Roman" w:hAnsi="Verdana" w:cs="Times New Roman"/>
          <w:b/>
          <w:bCs/>
          <w:color w:val="000000"/>
          <w:sz w:val="23"/>
          <w:szCs w:val="23"/>
          <w:lang w:eastAsia="fr-BE"/>
        </w:rPr>
        <w:t>Rotterdam</w:t>
      </w:r>
      <w:r w:rsidRPr="0004561F">
        <w:rPr>
          <w:rFonts w:ascii="Verdana" w:eastAsia="Times New Roman" w:hAnsi="Verdana" w:cs="Times New Roman"/>
          <w:color w:val="000000"/>
          <w:sz w:val="23"/>
          <w:szCs w:val="23"/>
          <w:lang w:eastAsia="fr-BE"/>
        </w:rPr>
        <w:t xml:space="preserve">, ont progressé à 150-170 $/t, contre 130-150 $/t la semaine passée. Elles avaient </w:t>
      </w:r>
      <w:proofErr w:type="spellStart"/>
      <w:r w:rsidRPr="0004561F">
        <w:rPr>
          <w:rFonts w:ascii="Verdana" w:eastAsia="Times New Roman" w:hAnsi="Verdana" w:cs="Times New Roman"/>
          <w:color w:val="000000"/>
          <w:sz w:val="23"/>
          <w:szCs w:val="23"/>
          <w:lang w:eastAsia="fr-BE"/>
        </w:rPr>
        <w:t>jusque là</w:t>
      </w:r>
      <w:proofErr w:type="spellEnd"/>
      <w:r w:rsidRPr="0004561F">
        <w:rPr>
          <w:rFonts w:ascii="Verdana" w:eastAsia="Times New Roman" w:hAnsi="Verdana" w:cs="Times New Roman"/>
          <w:color w:val="000000"/>
          <w:sz w:val="23"/>
          <w:szCs w:val="23"/>
          <w:lang w:eastAsia="fr-BE"/>
        </w:rPr>
        <w:t xml:space="preserve"> échappé à la folie ambiante qui a secoué les autres marchés. L’offre en cathodes s’est également resserrée dernièrement, mais ce marché est mieux structuré et approvisionné. Les stocks du LME abritent actuellement 143.888 tonnes, un volume en recul de 43% depuis celui de </w:t>
      </w:r>
      <w:proofErr w:type="gramStart"/>
      <w:r w:rsidRPr="0004561F">
        <w:rPr>
          <w:rFonts w:ascii="Verdana" w:eastAsia="Times New Roman" w:hAnsi="Verdana" w:cs="Times New Roman"/>
          <w:color w:val="000000"/>
          <w:sz w:val="23"/>
          <w:szCs w:val="23"/>
          <w:lang w:eastAsia="fr-BE"/>
        </w:rPr>
        <w:t>266.091 tonnes enregistré</w:t>
      </w:r>
      <w:proofErr w:type="gramEnd"/>
      <w:r w:rsidRPr="0004561F">
        <w:rPr>
          <w:rFonts w:ascii="Verdana" w:eastAsia="Times New Roman" w:hAnsi="Verdana" w:cs="Times New Roman"/>
          <w:color w:val="000000"/>
          <w:sz w:val="23"/>
          <w:szCs w:val="23"/>
          <w:lang w:eastAsia="fr-BE"/>
        </w:rPr>
        <w:t xml:space="preserve"> en début d’année. Les primes sur les </w:t>
      </w:r>
      <w:r w:rsidRPr="0004561F">
        <w:rPr>
          <w:rFonts w:ascii="Verdana" w:eastAsia="Times New Roman" w:hAnsi="Verdana" w:cs="Times New Roman"/>
          <w:color w:val="000000"/>
          <w:sz w:val="23"/>
          <w:szCs w:val="23"/>
          <w:u w:val="single"/>
          <w:lang w:eastAsia="fr-BE"/>
        </w:rPr>
        <w:t>cathodes entières</w:t>
      </w:r>
      <w:r w:rsidRPr="0004561F">
        <w:rPr>
          <w:rFonts w:ascii="Verdana" w:eastAsia="Times New Roman" w:hAnsi="Verdana" w:cs="Times New Roman"/>
          <w:color w:val="000000"/>
          <w:sz w:val="23"/>
          <w:szCs w:val="23"/>
          <w:lang w:eastAsia="fr-BE"/>
        </w:rPr>
        <w:t>, départ entrepôts de </w:t>
      </w:r>
      <w:r w:rsidRPr="0004561F">
        <w:rPr>
          <w:rFonts w:ascii="Verdana" w:eastAsia="Times New Roman" w:hAnsi="Verdana" w:cs="Times New Roman"/>
          <w:b/>
          <w:bCs/>
          <w:color w:val="000000"/>
          <w:sz w:val="23"/>
          <w:szCs w:val="23"/>
          <w:lang w:eastAsia="fr-BE"/>
        </w:rPr>
        <w:t>Rotterdam</w:t>
      </w:r>
      <w:r w:rsidRPr="0004561F">
        <w:rPr>
          <w:rFonts w:ascii="Verdana" w:eastAsia="Times New Roman" w:hAnsi="Verdana" w:cs="Times New Roman"/>
          <w:color w:val="000000"/>
          <w:sz w:val="23"/>
          <w:szCs w:val="23"/>
          <w:lang w:eastAsia="fr-BE"/>
        </w:rPr>
        <w:t>, se sont appréciées à 60-80 $/t, contre 40-75 $/t la semaine dernière. Celles nouées sur les </w:t>
      </w:r>
      <w:r w:rsidRPr="0004561F">
        <w:rPr>
          <w:rFonts w:ascii="Verdana" w:eastAsia="Times New Roman" w:hAnsi="Verdana" w:cs="Times New Roman"/>
          <w:color w:val="000000"/>
          <w:sz w:val="23"/>
          <w:szCs w:val="23"/>
          <w:u w:val="single"/>
          <w:lang w:eastAsia="fr-BE"/>
        </w:rPr>
        <w:t>cathodes coupées</w:t>
      </w:r>
      <w:r w:rsidRPr="0004561F">
        <w:rPr>
          <w:rFonts w:ascii="Verdana" w:eastAsia="Times New Roman" w:hAnsi="Verdana" w:cs="Times New Roman"/>
          <w:color w:val="000000"/>
          <w:sz w:val="23"/>
          <w:szCs w:val="23"/>
          <w:lang w:eastAsia="fr-BE"/>
        </w:rPr>
        <w:t> ont grimpé à 190-240 $/t, contre 165-220 $/t la semaine passée.</w:t>
      </w:r>
    </w:p>
    <w:p w14:paraId="775EB1A5" w14:textId="77777777" w:rsidR="00214011" w:rsidRDefault="00214011"/>
    <w:sectPr w:rsidR="00214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1F"/>
    <w:rsid w:val="0004561F"/>
    <w:rsid w:val="00086BC8"/>
    <w:rsid w:val="00214011"/>
    <w:rsid w:val="00633C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2F80"/>
  <w15:chartTrackingRefBased/>
  <w15:docId w15:val="{578E2B35-308B-43C9-A943-1CFAEA02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4034</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2021-11-16T11:13:00Z</dcterms:created>
  <dcterms:modified xsi:type="dcterms:W3CDTF">2021-11-16T11:14:00Z</dcterms:modified>
</cp:coreProperties>
</file>